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A3DB7" w14:textId="208BA334" w:rsidR="006C0ACA" w:rsidRPr="00C5644E" w:rsidRDefault="006C0ACA" w:rsidP="006C0AC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sidRPr="00C5644E">
        <w:rPr>
          <w:rFonts w:asciiTheme="minorHAnsi" w:hAnsiTheme="minorHAnsi" w:cstheme="minorHAnsi"/>
          <w:bCs/>
          <w:noProof w:val="0"/>
          <w:sz w:val="24"/>
          <w:szCs w:val="24"/>
          <w:lang w:eastAsia="zh-CN"/>
        </w:rPr>
        <w:tab/>
      </w:r>
      <w:r w:rsidR="00CA7FF5" w:rsidRPr="00CA7FF5">
        <w:rPr>
          <w:rFonts w:asciiTheme="minorHAnsi" w:hAnsiTheme="minorHAnsi" w:cstheme="minorHAnsi"/>
          <w:bCs/>
          <w:noProof w:val="0"/>
          <w:sz w:val="24"/>
          <w:szCs w:val="24"/>
          <w:lang w:eastAsia="zh-CN"/>
        </w:rPr>
        <w:t>R4-2301044</w:t>
      </w:r>
    </w:p>
    <w:p w14:paraId="00AE5327" w14:textId="3FAA9844" w:rsidR="006C0ACA" w:rsidRDefault="006C0ACA" w:rsidP="006C0ACA">
      <w:pPr>
        <w:pStyle w:val="Header"/>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Athens, Greece, February 27 – March 3, 202</w:t>
      </w:r>
      <w:r w:rsidR="00CA7FF5">
        <w:rPr>
          <w:rFonts w:asciiTheme="minorHAnsi" w:hAnsiTheme="minorHAnsi" w:cstheme="minorHAnsi"/>
          <w:bCs/>
          <w:noProof w:val="0"/>
          <w:sz w:val="24"/>
          <w:szCs w:val="24"/>
          <w:lang w:eastAsia="zh-CN"/>
        </w:rPr>
        <w:t>3</w:t>
      </w:r>
    </w:p>
    <w:p w14:paraId="3AB89F17" w14:textId="49E273B7" w:rsidR="006C0ACA" w:rsidRPr="0041046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C5644E">
        <w:rPr>
          <w:rFonts w:asciiTheme="minorHAnsi" w:eastAsiaTheme="minorEastAsia" w:hAnsiTheme="minorHAnsi" w:cstheme="minorHAnsi" w:hint="eastAsia"/>
          <w:bCs/>
          <w:noProof w:val="0"/>
          <w:sz w:val="24"/>
          <w:szCs w:val="24"/>
          <w:lang w:eastAsia="zh-CN"/>
        </w:rPr>
        <w:t>9</w:t>
      </w:r>
      <w:r w:rsidRPr="00410463">
        <w:rPr>
          <w:rFonts w:asciiTheme="minorHAnsi" w:eastAsiaTheme="minorEastAsia" w:hAnsiTheme="minorHAnsi" w:cstheme="minorHAnsi"/>
          <w:bCs/>
          <w:noProof w:val="0"/>
          <w:sz w:val="24"/>
          <w:szCs w:val="24"/>
          <w:lang w:eastAsia="zh-CN"/>
        </w:rPr>
        <w:t>.8.3</w:t>
      </w:r>
      <w:r>
        <w:rPr>
          <w:rFonts w:asciiTheme="minorHAnsi" w:eastAsiaTheme="minorEastAsia" w:hAnsiTheme="minorHAnsi" w:cstheme="minorHAnsi"/>
          <w:bCs/>
          <w:noProof w:val="0"/>
          <w:sz w:val="24"/>
          <w:szCs w:val="24"/>
          <w:lang w:eastAsia="zh-CN"/>
        </w:rPr>
        <w:t>.5</w:t>
      </w:r>
    </w:p>
    <w:p w14:paraId="57BBF75E" w14:textId="77777777"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10DB76D" w14:textId="6C92692D"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00CA7FF5" w:rsidRPr="00CA7FF5">
        <w:rPr>
          <w:rFonts w:asciiTheme="minorHAnsi" w:eastAsiaTheme="minorEastAsia" w:hAnsiTheme="minorHAnsi" w:cstheme="minorHAnsi"/>
          <w:bCs/>
          <w:noProof w:val="0"/>
          <w:sz w:val="24"/>
          <w:szCs w:val="24"/>
          <w:lang w:eastAsia="zh-CN"/>
        </w:rPr>
        <w:t>Discussion on dual TCI state switch for multi-Rx UE</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3B6B9FD2" w:rsidR="0028162D" w:rsidRPr="007317FB" w:rsidRDefault="006C0ACA" w:rsidP="00C86203">
      <w:pPr>
        <w:rPr>
          <w:rFonts w:eastAsia="新細明體" w:cstheme="minorHAnsi"/>
          <w:szCs w:val="24"/>
        </w:rPr>
      </w:pPr>
      <w:r>
        <w:rPr>
          <w:rFonts w:eastAsia="新細明體" w:cstheme="minorHAnsi"/>
          <w:szCs w:val="24"/>
        </w:rPr>
        <w:t xml:space="preserve">According to WF </w:t>
      </w:r>
      <w:r w:rsidR="00571F9A">
        <w:rPr>
          <w:rFonts w:eastAsia="新細明體" w:cstheme="minorHAnsi"/>
          <w:szCs w:val="24"/>
        </w:rPr>
        <w:fldChar w:fldCharType="begin"/>
      </w:r>
      <w:r w:rsidR="00571F9A">
        <w:rPr>
          <w:rFonts w:eastAsia="新細明體" w:cstheme="minorHAnsi"/>
          <w:szCs w:val="24"/>
        </w:rPr>
        <w:instrText xml:space="preserve"> REF _Ref126874315 \r \h </w:instrText>
      </w:r>
      <w:r w:rsidR="00571F9A">
        <w:rPr>
          <w:rFonts w:eastAsia="新細明體" w:cstheme="minorHAnsi"/>
          <w:szCs w:val="24"/>
        </w:rPr>
      </w:r>
      <w:r w:rsidR="00571F9A">
        <w:rPr>
          <w:rFonts w:eastAsia="新細明體" w:cstheme="minorHAnsi"/>
          <w:szCs w:val="24"/>
        </w:rPr>
        <w:fldChar w:fldCharType="separate"/>
      </w:r>
      <w:r w:rsidR="00935B94">
        <w:rPr>
          <w:rFonts w:eastAsia="新細明體" w:cstheme="minorHAnsi"/>
          <w:szCs w:val="24"/>
        </w:rPr>
        <w:t>[1]</w:t>
      </w:r>
      <w:r w:rsidR="00571F9A">
        <w:rPr>
          <w:rFonts w:eastAsia="新細明體" w:cstheme="minorHAnsi"/>
          <w:szCs w:val="24"/>
        </w:rPr>
        <w:fldChar w:fldCharType="end"/>
      </w:r>
      <w:r w:rsidR="00571F9A">
        <w:rPr>
          <w:rFonts w:eastAsia="新細明體" w:cstheme="minorHAnsi"/>
          <w:szCs w:val="24"/>
        </w:rPr>
        <w:t xml:space="preserve"> </w:t>
      </w:r>
      <w:r>
        <w:rPr>
          <w:rFonts w:eastAsia="新細明體" w:cstheme="minorHAnsi"/>
          <w:szCs w:val="24"/>
        </w:rPr>
        <w:t>and discussion summary</w:t>
      </w:r>
      <w:r w:rsidR="00571F9A">
        <w:rPr>
          <w:rFonts w:eastAsia="新細明體" w:cstheme="minorHAnsi"/>
          <w:szCs w:val="24"/>
        </w:rPr>
        <w:t xml:space="preserve"> </w:t>
      </w:r>
      <w:r w:rsidR="00571F9A">
        <w:rPr>
          <w:rFonts w:eastAsia="新細明體" w:cstheme="minorHAnsi"/>
          <w:szCs w:val="24"/>
        </w:rPr>
        <w:fldChar w:fldCharType="begin"/>
      </w:r>
      <w:r w:rsidR="00571F9A">
        <w:rPr>
          <w:rFonts w:eastAsia="新細明體" w:cstheme="minorHAnsi"/>
          <w:szCs w:val="24"/>
        </w:rPr>
        <w:instrText xml:space="preserve"> REF _Ref126874323 \r \h </w:instrText>
      </w:r>
      <w:r w:rsidR="00571F9A">
        <w:rPr>
          <w:rFonts w:eastAsia="新細明體" w:cstheme="minorHAnsi"/>
          <w:szCs w:val="24"/>
        </w:rPr>
      </w:r>
      <w:r w:rsidR="00571F9A">
        <w:rPr>
          <w:rFonts w:eastAsia="新細明體" w:cstheme="minorHAnsi"/>
          <w:szCs w:val="24"/>
        </w:rPr>
        <w:fldChar w:fldCharType="separate"/>
      </w:r>
      <w:r w:rsidR="00935B94">
        <w:rPr>
          <w:rFonts w:eastAsia="新細明體" w:cstheme="minorHAnsi"/>
          <w:szCs w:val="24"/>
        </w:rPr>
        <w:t>[2]</w:t>
      </w:r>
      <w:r w:rsidR="00571F9A">
        <w:rPr>
          <w:rFonts w:eastAsia="新細明體" w:cstheme="minorHAnsi"/>
          <w:szCs w:val="24"/>
        </w:rPr>
        <w:fldChar w:fldCharType="end"/>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agreements in the last meeting while some issues were discussed without conclusion yet. In this meeting, this WI is divided into six agenda items to be </w:t>
      </w:r>
      <w:proofErr w:type="gramStart"/>
      <w:r>
        <w:rPr>
          <w:rFonts w:eastAsia="新細明體" w:cstheme="minorHAnsi"/>
          <w:szCs w:val="24"/>
        </w:rPr>
        <w:t>discussed :</w:t>
      </w:r>
      <w:proofErr w:type="gramEnd"/>
      <w:r>
        <w:rPr>
          <w:rFonts w:eastAsia="新細明體" w:cstheme="minorHAnsi"/>
          <w:szCs w:val="24"/>
        </w:rPr>
        <w:t xml:space="preserve"> (1) general issues, (2) L1 measurement, (3) RLM/BFD/CBD, (4) scheduling/measurement restriction, (5) dual TCI state switching and (6) receive timing difference. The discussion in this paper focus on the “dual TCI state switching”</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DC1C6A">
      <w:pPr>
        <w:rPr>
          <w:rFonts w:eastAsia="新細明體"/>
          <w:szCs w:val="24"/>
          <w:lang w:val="en-GB"/>
        </w:rPr>
      </w:pPr>
      <w:r w:rsidRPr="00263720">
        <w:rPr>
          <w:rFonts w:eastAsia="新細明體"/>
          <w:szCs w:val="24"/>
          <w:lang w:val="en-GB"/>
        </w:rPr>
        <w:t>In the following sections, below issues will be discussed sequentially.</w:t>
      </w:r>
    </w:p>
    <w:p w14:paraId="56C39A67" w14:textId="7AB5AFAA" w:rsidR="00DC04A1" w:rsidRDefault="00495A19" w:rsidP="00DC1C6A">
      <w:pPr>
        <w:pStyle w:val="ListParagraph"/>
        <w:numPr>
          <w:ilvl w:val="0"/>
          <w:numId w:val="22"/>
        </w:numPr>
        <w:rPr>
          <w:rFonts w:eastAsia="新細明體"/>
          <w:szCs w:val="24"/>
          <w:lang w:val="en-GB"/>
        </w:rPr>
      </w:pPr>
      <w:r>
        <w:rPr>
          <w:rFonts w:eastAsia="新細明體"/>
          <w:szCs w:val="24"/>
          <w:lang w:val="en-GB"/>
        </w:rPr>
        <w:t>Requirement applicability</w:t>
      </w:r>
      <w:r w:rsidR="00436B03">
        <w:rPr>
          <w:rFonts w:eastAsia="新細明體"/>
          <w:szCs w:val="24"/>
          <w:lang w:val="en-GB"/>
        </w:rPr>
        <w:t xml:space="preserve"> of known and unknown TCI state</w:t>
      </w:r>
    </w:p>
    <w:p w14:paraId="4699F00A" w14:textId="5C5E573C" w:rsidR="00263720" w:rsidRPr="00887A07" w:rsidRDefault="00DD116E" w:rsidP="00887A07">
      <w:pPr>
        <w:pStyle w:val="ListParagraph"/>
        <w:numPr>
          <w:ilvl w:val="0"/>
          <w:numId w:val="22"/>
        </w:numPr>
        <w:spacing w:before="100" w:beforeAutospacing="1" w:after="100" w:afterAutospacing="1"/>
        <w:rPr>
          <w:rFonts w:eastAsia="新細明體" w:hint="eastAsia"/>
          <w:szCs w:val="24"/>
          <w:lang w:val="en-GB"/>
        </w:rPr>
      </w:pPr>
      <w:r>
        <w:rPr>
          <w:rFonts w:eastAsia="新細明體"/>
          <w:szCs w:val="24"/>
          <w:lang w:val="en-GB" w:eastAsia="zh-TW"/>
        </w:rPr>
        <w:t>Detectable condition</w:t>
      </w:r>
    </w:p>
    <w:p w14:paraId="0EB7CFA5" w14:textId="0AC1684F" w:rsidR="002907B7" w:rsidRPr="00923E98" w:rsidRDefault="002907B7" w:rsidP="00520E82">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1</w:t>
      </w:r>
      <w:r w:rsidRPr="00923E98">
        <w:rPr>
          <w:rFonts w:asciiTheme="minorHAnsi" w:hAnsiTheme="minorHAnsi" w:cstheme="minorHAnsi"/>
          <w:szCs w:val="32"/>
        </w:rPr>
        <w:t xml:space="preserve"> </w:t>
      </w:r>
      <w:r w:rsidR="00436B03" w:rsidRPr="00436B03">
        <w:rPr>
          <w:rFonts w:asciiTheme="minorHAnsi" w:eastAsia="新細明體" w:hAnsiTheme="minorHAnsi" w:cstheme="minorHAnsi"/>
          <w:szCs w:val="32"/>
          <w:lang w:eastAsia="zh-TW"/>
        </w:rPr>
        <w:t>Requirement applicability of known and unknown TCI state</w:t>
      </w:r>
    </w:p>
    <w:p w14:paraId="12658383" w14:textId="77777777" w:rsidR="00315962" w:rsidRDefault="00790793" w:rsidP="00315962">
      <w:pPr>
        <w:jc w:val="both"/>
        <w:rPr>
          <w:rFonts w:eastAsia="新細明體"/>
        </w:rPr>
      </w:pPr>
      <w:r>
        <w:rPr>
          <w:rFonts w:eastAsia="新細明體"/>
        </w:rPr>
        <w:t>For dual TCI state switching, t</w:t>
      </w:r>
      <w:r w:rsidR="00592B66">
        <w:rPr>
          <w:rFonts w:eastAsia="新細明體"/>
        </w:rPr>
        <w:t xml:space="preserve">here is one open issue regarding whether to consider unknown TCI state switching in the last meeting. The discussed cases are </w:t>
      </w:r>
    </w:p>
    <w:p w14:paraId="0FD45982" w14:textId="77777777" w:rsidR="00315962" w:rsidRDefault="00592B66" w:rsidP="00315962">
      <w:pPr>
        <w:ind w:leftChars="200" w:left="480"/>
        <w:jc w:val="both"/>
        <w:rPr>
          <w:rFonts w:eastAsia="新細明體"/>
        </w:rPr>
      </w:pPr>
      <w:r>
        <w:rPr>
          <w:rFonts w:eastAsia="新細明體"/>
        </w:rPr>
        <w:t xml:space="preserve">(1) </w:t>
      </w:r>
      <w:r w:rsidRPr="00592B66">
        <w:rPr>
          <w:rFonts w:eastAsia="新細明體"/>
          <w:color w:val="0000FF"/>
        </w:rPr>
        <w:t xml:space="preserve">known </w:t>
      </w:r>
      <w:r>
        <w:rPr>
          <w:rFonts w:eastAsia="新細明體"/>
        </w:rPr>
        <w:t xml:space="preserve">TCI state + </w:t>
      </w:r>
      <w:r w:rsidRPr="00592B66">
        <w:rPr>
          <w:rFonts w:eastAsia="新細明體"/>
          <w:color w:val="0000FF"/>
        </w:rPr>
        <w:t xml:space="preserve">known </w:t>
      </w:r>
      <w:r>
        <w:rPr>
          <w:rFonts w:eastAsia="新細明體"/>
        </w:rPr>
        <w:t xml:space="preserve">TCI state </w:t>
      </w:r>
    </w:p>
    <w:p w14:paraId="553877CA" w14:textId="77777777" w:rsidR="00315962" w:rsidRDefault="00592B66" w:rsidP="00315962">
      <w:pPr>
        <w:ind w:leftChars="200" w:left="480"/>
        <w:jc w:val="both"/>
        <w:rPr>
          <w:rFonts w:eastAsia="新細明體"/>
        </w:rPr>
      </w:pPr>
      <w:r>
        <w:rPr>
          <w:rFonts w:eastAsia="新細明體"/>
        </w:rPr>
        <w:t xml:space="preserve">(2) </w:t>
      </w:r>
      <w:r w:rsidRPr="00592B66">
        <w:rPr>
          <w:rFonts w:eastAsia="新細明體"/>
          <w:color w:val="0000FF"/>
        </w:rPr>
        <w:t xml:space="preserve">known </w:t>
      </w:r>
      <w:r>
        <w:rPr>
          <w:rFonts w:eastAsia="新細明體"/>
        </w:rPr>
        <w:t xml:space="preserve">TCI state + </w:t>
      </w:r>
      <w:r w:rsidRPr="00592B66">
        <w:rPr>
          <w:rFonts w:eastAsia="新細明體"/>
          <w:color w:val="FF0000"/>
        </w:rPr>
        <w:t xml:space="preserve">unknown </w:t>
      </w:r>
      <w:r>
        <w:rPr>
          <w:rFonts w:eastAsia="新細明體"/>
        </w:rPr>
        <w:t xml:space="preserve">TCI state </w:t>
      </w:r>
    </w:p>
    <w:p w14:paraId="42BDCC0D" w14:textId="77777777" w:rsidR="00315962" w:rsidRDefault="00592B66" w:rsidP="00315962">
      <w:pPr>
        <w:ind w:leftChars="200" w:left="480"/>
        <w:jc w:val="both"/>
        <w:rPr>
          <w:rFonts w:eastAsia="新細明體"/>
        </w:rPr>
      </w:pPr>
      <w:r>
        <w:rPr>
          <w:rFonts w:eastAsia="新細明體"/>
        </w:rPr>
        <w:t xml:space="preserve">(3) </w:t>
      </w:r>
      <w:r w:rsidRPr="00592B66">
        <w:rPr>
          <w:rFonts w:eastAsia="新細明體"/>
          <w:color w:val="FF0000"/>
        </w:rPr>
        <w:t>unknown</w:t>
      </w:r>
      <w:r>
        <w:rPr>
          <w:rFonts w:eastAsia="新細明體"/>
        </w:rPr>
        <w:t xml:space="preserve"> TCI state + </w:t>
      </w:r>
      <w:r w:rsidRPr="00592B66">
        <w:rPr>
          <w:rFonts w:eastAsia="新細明體"/>
          <w:color w:val="FF0000"/>
        </w:rPr>
        <w:t>unknown</w:t>
      </w:r>
      <w:r>
        <w:rPr>
          <w:rFonts w:eastAsia="新細明體"/>
        </w:rPr>
        <w:t xml:space="preserve"> TCI state.</w:t>
      </w:r>
      <w:r w:rsidR="009136F9">
        <w:rPr>
          <w:rFonts w:eastAsia="新細明體"/>
        </w:rPr>
        <w:t xml:space="preserve"> </w:t>
      </w:r>
    </w:p>
    <w:p w14:paraId="25760197" w14:textId="4E0488AD" w:rsidR="00EF47C2" w:rsidRDefault="009136F9" w:rsidP="00315962">
      <w:pPr>
        <w:jc w:val="both"/>
        <w:rPr>
          <w:b/>
          <w:szCs w:val="24"/>
        </w:rPr>
      </w:pPr>
      <w:r>
        <w:rPr>
          <w:rFonts w:eastAsia="新細明體"/>
        </w:rPr>
        <w:t>To our understanding, dual TCI state switch</w:t>
      </w:r>
      <w:r w:rsidR="0057071C">
        <w:rPr>
          <w:rFonts w:eastAsia="新細明體"/>
        </w:rPr>
        <w:t>ing</w:t>
      </w:r>
      <w:r w:rsidR="009C5D74">
        <w:rPr>
          <w:rFonts w:eastAsia="新細明體"/>
        </w:rPr>
        <w:t xml:space="preserve"> </w:t>
      </w:r>
      <w:r>
        <w:rPr>
          <w:rFonts w:eastAsia="新細明體"/>
        </w:rPr>
        <w:t>is for simultaneous reception of PDSCH</w:t>
      </w:r>
      <w:r w:rsidR="00B5667A">
        <w:rPr>
          <w:rFonts w:eastAsia="新細明體"/>
        </w:rPr>
        <w:t>(</w:t>
      </w:r>
      <w:r>
        <w:rPr>
          <w:rFonts w:eastAsia="新細明體"/>
        </w:rPr>
        <w:t>s</w:t>
      </w:r>
      <w:r w:rsidR="00B5667A">
        <w:rPr>
          <w:rFonts w:eastAsia="新細明體"/>
        </w:rPr>
        <w:t xml:space="preserve">) </w:t>
      </w:r>
      <w:r w:rsidR="009F37B5">
        <w:rPr>
          <w:rFonts w:eastAsia="新細明體"/>
        </w:rPr>
        <w:t xml:space="preserve">for </w:t>
      </w:r>
      <w:r w:rsidR="00B5667A">
        <w:rPr>
          <w:rFonts w:eastAsia="新細明體"/>
        </w:rPr>
        <w:t>4-layer MIMO</w:t>
      </w:r>
      <w:r>
        <w:rPr>
          <w:rFonts w:eastAsia="新細明體"/>
        </w:rPr>
        <w:t>, i.e.</w:t>
      </w:r>
      <w:r w:rsidR="000C7C07">
        <w:rPr>
          <w:rFonts w:eastAsia="新細明體"/>
        </w:rPr>
        <w:t>,</w:t>
      </w:r>
      <w:r>
        <w:rPr>
          <w:rFonts w:eastAsia="新細明體"/>
        </w:rPr>
        <w:t xml:space="preserve"> increase data throughput. </w:t>
      </w:r>
      <w:r w:rsidR="00957131">
        <w:rPr>
          <w:rFonts w:eastAsia="新細明體"/>
        </w:rPr>
        <w:t>I</w:t>
      </w:r>
      <w:r w:rsidR="001C4DE7">
        <w:rPr>
          <w:rFonts w:eastAsia="新細明體" w:hint="eastAsia"/>
        </w:rPr>
        <w:t>f</w:t>
      </w:r>
      <w:r w:rsidR="001C4DE7">
        <w:rPr>
          <w:rFonts w:eastAsia="新細明體"/>
        </w:rPr>
        <w:t xml:space="preserve"> network indicates UE switches to unknown TCI states,</w:t>
      </w:r>
      <w:r w:rsidR="00962539">
        <w:rPr>
          <w:rFonts w:eastAsia="新細明體"/>
        </w:rPr>
        <w:t xml:space="preserve"> t</w:t>
      </w:r>
      <w:r>
        <w:rPr>
          <w:rFonts w:eastAsia="新細明體"/>
        </w:rPr>
        <w:t>he performance cannot be guaranteed</w:t>
      </w:r>
      <w:r w:rsidR="00957131">
        <w:rPr>
          <w:rFonts w:eastAsia="新細明體"/>
        </w:rPr>
        <w:t>, leading to degraded throughput and waste of UE power</w:t>
      </w:r>
      <w:r>
        <w:rPr>
          <w:rFonts w:eastAsia="新細明體"/>
        </w:rPr>
        <w:t>.</w:t>
      </w:r>
      <w:r w:rsidR="002E299E">
        <w:rPr>
          <w:rFonts w:eastAsia="新細明體"/>
        </w:rPr>
        <w:t xml:space="preserve"> </w:t>
      </w:r>
      <w:r w:rsidR="009360C9">
        <w:rPr>
          <w:rFonts w:eastAsia="新細明體"/>
        </w:rPr>
        <w:t>This is very similar to CQI/RI reporting, i.e., typically network only schedule</w:t>
      </w:r>
      <w:r w:rsidR="00456612">
        <w:rPr>
          <w:rFonts w:eastAsia="新細明體"/>
        </w:rPr>
        <w:t>s</w:t>
      </w:r>
      <w:r w:rsidR="009360C9">
        <w:rPr>
          <w:rFonts w:eastAsia="新細明體"/>
        </w:rPr>
        <w:t xml:space="preserve"> rank-4 PDSCH after UE report</w:t>
      </w:r>
      <w:r w:rsidR="00456612">
        <w:rPr>
          <w:rFonts w:eastAsia="新細明體"/>
        </w:rPr>
        <w:t>s</w:t>
      </w:r>
      <w:r w:rsidR="009360C9">
        <w:rPr>
          <w:rFonts w:eastAsia="新細明體"/>
        </w:rPr>
        <w:t xml:space="preserve"> RI=4 and the corresponding CQI. </w:t>
      </w:r>
      <w:r w:rsidR="001C4DE7">
        <w:rPr>
          <w:rFonts w:eastAsia="新細明體"/>
        </w:rPr>
        <w:t>So, we do not see the needs and reason why network indicates UE switches to a</w:t>
      </w:r>
      <w:r w:rsidR="009360C9">
        <w:rPr>
          <w:rFonts w:eastAsia="新細明體"/>
        </w:rPr>
        <w:t>n</w:t>
      </w:r>
      <w:r w:rsidR="001C4DE7">
        <w:rPr>
          <w:rFonts w:eastAsia="新細明體"/>
        </w:rPr>
        <w:t xml:space="preserve"> unknown TCI state. </w:t>
      </w:r>
    </w:p>
    <w:p w14:paraId="28F98781" w14:textId="30800181" w:rsidR="00F744DD" w:rsidRDefault="00F744DD" w:rsidP="00F744DD">
      <w:pPr>
        <w:spacing w:before="100" w:beforeAutospacing="1" w:after="100" w:afterAutospacing="1"/>
        <w:jc w:val="both"/>
        <w:rPr>
          <w:b/>
          <w:szCs w:val="24"/>
        </w:rPr>
      </w:pPr>
      <w:bookmarkStart w:id="0" w:name="_Ref12728564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935B94">
        <w:rPr>
          <w:b/>
          <w:noProof/>
          <w:szCs w:val="24"/>
        </w:rPr>
        <w:t>1</w:t>
      </w:r>
      <w:r w:rsidRPr="004E4BCC">
        <w:rPr>
          <w:b/>
          <w:szCs w:val="24"/>
        </w:rPr>
        <w:fldChar w:fldCharType="end"/>
      </w:r>
      <w:r w:rsidRPr="004E4BCC">
        <w:rPr>
          <w:b/>
          <w:szCs w:val="24"/>
        </w:rPr>
        <w:t>:</w:t>
      </w:r>
      <w:r>
        <w:rPr>
          <w:b/>
          <w:szCs w:val="24"/>
        </w:rPr>
        <w:t xml:space="preserve"> </w:t>
      </w:r>
      <w:r w:rsidRPr="00C33DE5">
        <w:rPr>
          <w:b/>
          <w:szCs w:val="24"/>
        </w:rPr>
        <w:t xml:space="preserve">For </w:t>
      </w:r>
      <w:r>
        <w:rPr>
          <w:b/>
          <w:szCs w:val="24"/>
        </w:rPr>
        <w:t xml:space="preserve">dual TCI state switching, only </w:t>
      </w:r>
      <w:r w:rsidR="00CB682F">
        <w:rPr>
          <w:b/>
          <w:szCs w:val="24"/>
        </w:rPr>
        <w:t>define</w:t>
      </w:r>
      <w:r>
        <w:rPr>
          <w:b/>
          <w:szCs w:val="24"/>
        </w:rPr>
        <w:t xml:space="preserve"> the </w:t>
      </w:r>
      <w:r w:rsidR="00CB682F">
        <w:rPr>
          <w:b/>
          <w:szCs w:val="24"/>
        </w:rPr>
        <w:t>requirement</w:t>
      </w:r>
      <w:r w:rsidR="00271AE2">
        <w:rPr>
          <w:b/>
          <w:szCs w:val="24"/>
        </w:rPr>
        <w:t>s</w:t>
      </w:r>
      <w:r w:rsidR="00CB682F">
        <w:rPr>
          <w:b/>
          <w:szCs w:val="24"/>
        </w:rPr>
        <w:t xml:space="preserve"> for the case </w:t>
      </w:r>
      <w:r>
        <w:rPr>
          <w:b/>
          <w:szCs w:val="24"/>
        </w:rPr>
        <w:t>when two indicated TCI states are known.</w:t>
      </w:r>
      <w:bookmarkEnd w:id="0"/>
    </w:p>
    <w:p w14:paraId="7AE09FC3" w14:textId="440E7319" w:rsidR="00DD116E" w:rsidRPr="00923E98" w:rsidRDefault="00DD116E" w:rsidP="00DD116E">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Detectable condition</w:t>
      </w:r>
    </w:p>
    <w:p w14:paraId="0E81BCDB" w14:textId="77777777" w:rsidR="005809A8" w:rsidRPr="00901BC9" w:rsidRDefault="005809A8" w:rsidP="005809A8">
      <w:pPr>
        <w:spacing w:before="100" w:beforeAutospacing="1" w:after="100" w:afterAutospacing="1"/>
        <w:jc w:val="both"/>
        <w:rPr>
          <w:rFonts w:eastAsia="新細明體"/>
          <w:lang w:val="en-GB"/>
        </w:rPr>
      </w:pPr>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5809A8" w14:paraId="70F8C2F5" w14:textId="77777777" w:rsidTr="001A1505">
        <w:tc>
          <w:tcPr>
            <w:tcW w:w="9629" w:type="dxa"/>
          </w:tcPr>
          <w:p w14:paraId="2236CCB1" w14:textId="77777777" w:rsidR="005809A8" w:rsidRPr="001D4146" w:rsidRDefault="005809A8" w:rsidP="001A1505">
            <w:pPr>
              <w:outlineLvl w:val="3"/>
              <w:rPr>
                <w:b/>
                <w:sz w:val="20"/>
                <w:szCs w:val="18"/>
                <w:u w:val="single"/>
                <w:lang w:eastAsia="ko-KR"/>
              </w:rPr>
            </w:pPr>
            <w:r w:rsidRPr="001D4146">
              <w:rPr>
                <w:b/>
                <w:sz w:val="20"/>
                <w:szCs w:val="18"/>
                <w:u w:val="single"/>
                <w:lang w:eastAsia="ko-KR"/>
              </w:rPr>
              <w:t>Issue 2-3-4: Detectable condition of RS signals</w:t>
            </w:r>
          </w:p>
          <w:p w14:paraId="2B575F72" w14:textId="77777777" w:rsidR="005809A8" w:rsidRPr="001D4146" w:rsidRDefault="005809A8" w:rsidP="005809A8">
            <w:pPr>
              <w:pStyle w:val="ListParagraph"/>
              <w:widowControl/>
              <w:numPr>
                <w:ilvl w:val="0"/>
                <w:numId w:val="5"/>
              </w:numPr>
              <w:ind w:left="720"/>
              <w:contextualSpacing w:val="0"/>
              <w:rPr>
                <w:rFonts w:eastAsia="SimSun"/>
                <w:sz w:val="20"/>
                <w:szCs w:val="20"/>
                <w:lang w:eastAsia="zh-CN"/>
              </w:rPr>
            </w:pPr>
            <w:r w:rsidRPr="001D4146">
              <w:rPr>
                <w:rFonts w:eastAsia="SimSun"/>
                <w:sz w:val="20"/>
                <w:szCs w:val="20"/>
                <w:lang w:eastAsia="zh-CN"/>
              </w:rPr>
              <w:t>Proposals</w:t>
            </w:r>
          </w:p>
          <w:p w14:paraId="51F55448" w14:textId="77777777" w:rsidR="005809A8" w:rsidRPr="001D4146" w:rsidRDefault="005809A8" w:rsidP="005809A8">
            <w:pPr>
              <w:pStyle w:val="ListParagraph"/>
              <w:widowControl/>
              <w:numPr>
                <w:ilvl w:val="1"/>
                <w:numId w:val="5"/>
              </w:numPr>
              <w:ind w:left="1440"/>
              <w:contextualSpacing w:val="0"/>
              <w:rPr>
                <w:rFonts w:eastAsia="SimSun"/>
                <w:sz w:val="20"/>
                <w:szCs w:val="20"/>
                <w:lang w:eastAsia="zh-CN"/>
              </w:rPr>
            </w:pPr>
            <w:r w:rsidRPr="001D4146">
              <w:rPr>
                <w:rFonts w:eastAsia="SimSun"/>
                <w:sz w:val="20"/>
                <w:szCs w:val="20"/>
                <w:lang w:eastAsia="zh-CN"/>
              </w:rPr>
              <w:t xml:space="preserve">Option 1 (ZTE): </w:t>
            </w:r>
          </w:p>
          <w:p w14:paraId="4BAF2D04" w14:textId="77777777" w:rsidR="005809A8" w:rsidRPr="001D4146" w:rsidRDefault="005809A8" w:rsidP="005809A8">
            <w:pPr>
              <w:pStyle w:val="ListParagraph"/>
              <w:widowControl/>
              <w:numPr>
                <w:ilvl w:val="2"/>
                <w:numId w:val="5"/>
              </w:numPr>
              <w:ind w:left="2376"/>
              <w:contextualSpacing w:val="0"/>
              <w:rPr>
                <w:rFonts w:eastAsia="SimSun"/>
                <w:sz w:val="20"/>
                <w:szCs w:val="20"/>
                <w:lang w:eastAsia="zh-CN"/>
              </w:rPr>
            </w:pPr>
            <w:r w:rsidRPr="001D4146">
              <w:rPr>
                <w:rFonts w:eastAsia="SimSun"/>
                <w:sz w:val="20"/>
                <w:szCs w:val="20"/>
                <w:lang w:eastAsia="zh-CN"/>
              </w:rPr>
              <w:t>For detectable condition, all RSs in the same QCL chain for the target TCI state should remain detectable during the entire measurement/switch period.</w:t>
            </w:r>
          </w:p>
          <w:p w14:paraId="1A5ECAA5" w14:textId="77777777" w:rsidR="005809A8" w:rsidRPr="001D4146" w:rsidRDefault="005809A8" w:rsidP="005809A8">
            <w:pPr>
              <w:pStyle w:val="ListParagraph"/>
              <w:widowControl/>
              <w:numPr>
                <w:ilvl w:val="1"/>
                <w:numId w:val="5"/>
              </w:numPr>
              <w:ind w:left="1440"/>
              <w:contextualSpacing w:val="0"/>
              <w:rPr>
                <w:rFonts w:eastAsia="SimSun"/>
                <w:sz w:val="20"/>
                <w:szCs w:val="20"/>
                <w:lang w:eastAsia="zh-CN"/>
              </w:rPr>
            </w:pPr>
            <w:r w:rsidRPr="001D4146">
              <w:rPr>
                <w:rFonts w:eastAsia="SimSun"/>
                <w:sz w:val="20"/>
                <w:szCs w:val="20"/>
                <w:lang w:eastAsia="zh-CN"/>
              </w:rPr>
              <w:t xml:space="preserve">Option 2 (Huawei): </w:t>
            </w:r>
          </w:p>
          <w:p w14:paraId="4190EDC3" w14:textId="77777777" w:rsidR="005809A8" w:rsidRPr="001D4146" w:rsidRDefault="005809A8" w:rsidP="005809A8">
            <w:pPr>
              <w:pStyle w:val="ListParagraph"/>
              <w:widowControl/>
              <w:numPr>
                <w:ilvl w:val="2"/>
                <w:numId w:val="5"/>
              </w:numPr>
              <w:ind w:left="2376"/>
              <w:contextualSpacing w:val="0"/>
              <w:rPr>
                <w:rFonts w:eastAsia="SimSun"/>
                <w:sz w:val="20"/>
                <w:szCs w:val="20"/>
                <w:lang w:eastAsia="zh-CN"/>
              </w:rPr>
            </w:pPr>
            <w:r w:rsidRPr="001D4146">
              <w:rPr>
                <w:rFonts w:eastAsia="SimSun"/>
                <w:sz w:val="20"/>
                <w:szCs w:val="20"/>
                <w:lang w:eastAsia="zh-CN"/>
              </w:rPr>
              <w:lastRenderedPageBreak/>
              <w:t>For known target TCI state for switching, all RSs in the same TCI chain for the target TCI need to be detectable during switching period, which is not multi-Rx specific issue.</w:t>
            </w:r>
          </w:p>
          <w:p w14:paraId="6FFE392A" w14:textId="77777777" w:rsidR="005809A8" w:rsidRPr="001D4146" w:rsidRDefault="005809A8" w:rsidP="005809A8">
            <w:pPr>
              <w:pStyle w:val="ListParagraph"/>
              <w:widowControl/>
              <w:numPr>
                <w:ilvl w:val="1"/>
                <w:numId w:val="5"/>
              </w:numPr>
              <w:ind w:left="1440"/>
              <w:contextualSpacing w:val="0"/>
              <w:rPr>
                <w:rFonts w:eastAsia="SimSun"/>
                <w:sz w:val="20"/>
                <w:szCs w:val="20"/>
                <w:lang w:eastAsia="zh-CN"/>
              </w:rPr>
            </w:pPr>
            <w:r w:rsidRPr="001D4146">
              <w:rPr>
                <w:rFonts w:eastAsia="SimSun"/>
                <w:sz w:val="20"/>
                <w:szCs w:val="20"/>
                <w:lang w:eastAsia="zh-CN"/>
              </w:rPr>
              <w:t xml:space="preserve">Option 3 (Ericsson): </w:t>
            </w:r>
          </w:p>
          <w:p w14:paraId="06E3EC9C" w14:textId="77777777" w:rsidR="005809A8" w:rsidRPr="001D4146" w:rsidRDefault="005809A8" w:rsidP="005809A8">
            <w:pPr>
              <w:pStyle w:val="ListParagraph"/>
              <w:widowControl/>
              <w:numPr>
                <w:ilvl w:val="2"/>
                <w:numId w:val="5"/>
              </w:numPr>
              <w:ind w:left="2376"/>
              <w:contextualSpacing w:val="0"/>
              <w:rPr>
                <w:rFonts w:eastAsia="SimSun"/>
                <w:color w:val="0070C0"/>
                <w:szCs w:val="24"/>
                <w:lang w:eastAsia="zh-CN"/>
              </w:rPr>
            </w:pPr>
            <w:r w:rsidRPr="001D4146">
              <w:rPr>
                <w:rFonts w:eastAsia="SimSun"/>
                <w:sz w:val="20"/>
                <w:szCs w:val="20"/>
                <w:lang w:eastAsia="zh-CN"/>
              </w:rPr>
              <w:t xml:space="preserve">In RRM requirements for simultaneous reception of RSs in different QCL type D </w:t>
            </w:r>
            <w:proofErr w:type="spellStart"/>
            <w:r w:rsidRPr="001D4146">
              <w:rPr>
                <w:rFonts w:eastAsia="SimSun"/>
                <w:sz w:val="20"/>
                <w:szCs w:val="20"/>
                <w:lang w:eastAsia="zh-CN"/>
              </w:rPr>
              <w:t>infos</w:t>
            </w:r>
            <w:proofErr w:type="spellEnd"/>
            <w:r w:rsidRPr="001D4146">
              <w:rPr>
                <w:rFonts w:eastAsia="SimSun"/>
                <w:sz w:val="20"/>
                <w:szCs w:val="20"/>
                <w:lang w:eastAsia="zh-CN"/>
              </w:rPr>
              <w:t xml:space="preserve">, not only the target RSs but also the associated signals in the QCL </w:t>
            </w:r>
            <w:proofErr w:type="spellStart"/>
            <w:r w:rsidRPr="001D4146">
              <w:rPr>
                <w:rFonts w:eastAsia="SimSun"/>
                <w:sz w:val="20"/>
                <w:szCs w:val="20"/>
                <w:lang w:eastAsia="zh-CN"/>
              </w:rPr>
              <w:t>infos</w:t>
            </w:r>
            <w:proofErr w:type="spellEnd"/>
            <w:r w:rsidRPr="001D4146">
              <w:rPr>
                <w:rFonts w:eastAsia="SimSun"/>
                <w:sz w:val="20"/>
                <w:szCs w:val="20"/>
                <w:lang w:eastAsia="zh-CN"/>
              </w:rPr>
              <w:t xml:space="preserve"> shall remain detectable during the entire measurement periods, e.g., a detectability condition also for the associated signal needs to be added</w:t>
            </w:r>
          </w:p>
        </w:tc>
      </w:tr>
    </w:tbl>
    <w:p w14:paraId="125C2A3E" w14:textId="40E4B3A8" w:rsidR="005809A8" w:rsidRDefault="005809A8" w:rsidP="005809A8">
      <w:pPr>
        <w:spacing w:before="100" w:beforeAutospacing="1" w:after="100" w:afterAutospacing="1"/>
        <w:jc w:val="both"/>
        <w:rPr>
          <w:rFonts w:eastAsia="新細明體"/>
          <w:lang w:val="en-GB"/>
        </w:rPr>
      </w:pPr>
      <w:r>
        <w:rPr>
          <w:rFonts w:eastAsia="新細明體"/>
          <w:lang w:val="en-GB"/>
        </w:rPr>
        <w:lastRenderedPageBreak/>
        <w:t xml:space="preserve">We support proposal 1 and 3. </w:t>
      </w:r>
      <w:r w:rsidRPr="00C33DE5">
        <w:rPr>
          <w:rFonts w:eastAsia="新細明體"/>
          <w:lang w:val="en-GB"/>
        </w:rPr>
        <w:t xml:space="preserve">Since the </w:t>
      </w:r>
      <w:r>
        <w:rPr>
          <w:rFonts w:eastAsia="新細明體"/>
          <w:lang w:val="en-GB"/>
        </w:rPr>
        <w:t>flied “</w:t>
      </w:r>
      <w:r w:rsidRPr="00C33DE5">
        <w:rPr>
          <w:rFonts w:eastAsia="新細明體"/>
          <w:lang w:val="en-GB"/>
        </w:rPr>
        <w:t>repetition</w:t>
      </w:r>
      <w:r>
        <w:rPr>
          <w:rFonts w:eastAsia="新細明體"/>
          <w:lang w:val="en-GB"/>
        </w:rPr>
        <w:t>”</w:t>
      </w:r>
      <w:r w:rsidRPr="00C33DE5">
        <w:rPr>
          <w:rFonts w:eastAsia="新細明體"/>
          <w:lang w:val="en-GB"/>
        </w:rPr>
        <w:t xml:space="preserve"> cannot be configured for </w:t>
      </w:r>
      <w:r>
        <w:rPr>
          <w:rFonts w:eastAsia="新細明體"/>
          <w:lang w:val="en-GB"/>
        </w:rPr>
        <w:t>the</w:t>
      </w:r>
      <w:r w:rsidRPr="00C33DE5">
        <w:rPr>
          <w:rFonts w:eastAsia="新細明體"/>
          <w:lang w:val="en-GB"/>
        </w:rPr>
        <w:t xml:space="preserve"> tracking RS, UE </w:t>
      </w:r>
      <w:proofErr w:type="gramStart"/>
      <w:r>
        <w:rPr>
          <w:rFonts w:eastAsia="新細明體"/>
          <w:lang w:val="en-GB"/>
        </w:rPr>
        <w:t>has to</w:t>
      </w:r>
      <w:proofErr w:type="gramEnd"/>
      <w:r w:rsidRPr="00C33DE5">
        <w:rPr>
          <w:rFonts w:eastAsia="新細明體"/>
          <w:lang w:val="en-GB"/>
        </w:rPr>
        <w:t xml:space="preserve"> take the other RS </w:t>
      </w:r>
      <w:r>
        <w:rPr>
          <w:rFonts w:eastAsia="新細明體"/>
          <w:lang w:val="en-GB"/>
        </w:rPr>
        <w:t xml:space="preserve">which is </w:t>
      </w:r>
      <w:r w:rsidRPr="00C33DE5">
        <w:rPr>
          <w:rFonts w:eastAsia="新細明體"/>
          <w:lang w:val="en-GB"/>
        </w:rPr>
        <w:t xml:space="preserve">in the same </w:t>
      </w:r>
      <w:r>
        <w:rPr>
          <w:rFonts w:eastAsia="新細明體" w:hint="eastAsia"/>
          <w:lang w:val="en-GB"/>
        </w:rPr>
        <w:t xml:space="preserve">TCI </w:t>
      </w:r>
      <w:r w:rsidRPr="00C33DE5">
        <w:rPr>
          <w:rFonts w:eastAsia="新細明體"/>
          <w:lang w:val="en-GB"/>
        </w:rPr>
        <w:t>chain as</w:t>
      </w:r>
      <w:r>
        <w:rPr>
          <w:rFonts w:eastAsia="新細明體"/>
          <w:lang w:val="en-GB"/>
        </w:rPr>
        <w:t xml:space="preserve"> the</w:t>
      </w:r>
      <w:r w:rsidRPr="00C33DE5">
        <w:rPr>
          <w:rFonts w:eastAsia="新細明體"/>
          <w:lang w:val="en-GB"/>
        </w:rPr>
        <w:t xml:space="preserve"> tracking RS to perform UE 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w:t>
      </w:r>
      <w:r>
        <w:rPr>
          <w:rFonts w:eastAsia="新細明體" w:hint="eastAsia"/>
          <w:lang w:val="en-GB"/>
        </w:rPr>
        <w:t xml:space="preserve">TCI </w:t>
      </w:r>
      <w:r w:rsidRPr="00C33DE5">
        <w:rPr>
          <w:rFonts w:eastAsia="新細明體"/>
          <w:lang w:val="en-GB"/>
        </w:rPr>
        <w:t xml:space="preserve">chain </w:t>
      </w:r>
      <w:r>
        <w:rPr>
          <w:rFonts w:eastAsia="新細明體"/>
          <w:lang w:val="en-GB"/>
        </w:rPr>
        <w:t>remain</w:t>
      </w:r>
      <w:r w:rsidRPr="00C33DE5">
        <w:rPr>
          <w:rFonts w:eastAsia="新細明體"/>
          <w:lang w:val="en-GB"/>
        </w:rPr>
        <w:t xml:space="preserve"> detectable during the entire measurement period.</w:t>
      </w:r>
      <w:r>
        <w:rPr>
          <w:rFonts w:eastAsia="新細明體"/>
          <w:lang w:val="en-GB"/>
        </w:rPr>
        <w:t xml:space="preserve"> Furthermore, as same QCL Type-D means that the 2 RS are transmitted from the same Tx spatial filter, we tend to believe that the detectability should be the same for all RS in the same </w:t>
      </w:r>
      <w:r>
        <w:rPr>
          <w:rFonts w:eastAsia="新細明體" w:hint="eastAsia"/>
          <w:lang w:val="en-GB"/>
        </w:rPr>
        <w:t xml:space="preserve">TCI </w:t>
      </w:r>
      <w:r>
        <w:rPr>
          <w:rFonts w:eastAsia="新細明體"/>
          <w:lang w:val="en-GB"/>
        </w:rPr>
        <w:t>chain. So, the following proposal is suggested.</w:t>
      </w:r>
    </w:p>
    <w:p w14:paraId="0D546CDA" w14:textId="47637FFC" w:rsidR="00DD116E" w:rsidRPr="004E6ABE" w:rsidRDefault="00495A19" w:rsidP="00B70A7C">
      <w:pPr>
        <w:spacing w:before="100" w:beforeAutospacing="1" w:after="100" w:afterAutospacing="1"/>
        <w:jc w:val="both"/>
        <w:rPr>
          <w:rFonts w:eastAsia="新細明體" w:cstheme="minorHAnsi"/>
          <w:szCs w:val="24"/>
        </w:rPr>
      </w:pPr>
      <w:bookmarkStart w:id="1" w:name="_Ref115355268"/>
      <w:bookmarkStart w:id="2" w:name="_Ref11862896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935B94">
        <w:rPr>
          <w:b/>
          <w:noProof/>
          <w:szCs w:val="24"/>
        </w:rPr>
        <w:t>2</w:t>
      </w:r>
      <w:r w:rsidRPr="004E4BCC">
        <w:rPr>
          <w:b/>
          <w:szCs w:val="24"/>
        </w:rPr>
        <w:fldChar w:fldCharType="end"/>
      </w:r>
      <w:r w:rsidRPr="004E4BCC">
        <w:rPr>
          <w:b/>
          <w:szCs w:val="24"/>
        </w:rPr>
        <w:t>:</w:t>
      </w:r>
      <w:r>
        <w:rPr>
          <w:b/>
          <w:szCs w:val="24"/>
        </w:rPr>
        <w:t xml:space="preserve"> </w:t>
      </w:r>
      <w:r w:rsidRPr="00C33DE5">
        <w:rPr>
          <w:b/>
          <w:szCs w:val="24"/>
        </w:rPr>
        <w:t>For detectable condition, all RS</w:t>
      </w:r>
      <w:r>
        <w:rPr>
          <w:b/>
          <w:szCs w:val="24"/>
        </w:rPr>
        <w:t>s</w:t>
      </w:r>
      <w:r w:rsidRPr="00C33DE5">
        <w:rPr>
          <w:b/>
          <w:szCs w:val="24"/>
        </w:rPr>
        <w:t xml:space="preserve"> in the same </w:t>
      </w:r>
      <w:r w:rsidRPr="00360F93">
        <w:rPr>
          <w:rFonts w:hint="eastAsia"/>
          <w:b/>
          <w:szCs w:val="24"/>
        </w:rPr>
        <w:t xml:space="preserve">TCI </w:t>
      </w:r>
      <w:r w:rsidRPr="00C33DE5">
        <w:rPr>
          <w:b/>
          <w:szCs w:val="24"/>
        </w:rPr>
        <w:t>chain for the target TCI state</w:t>
      </w:r>
      <w:r>
        <w:rPr>
          <w:b/>
          <w:szCs w:val="24"/>
        </w:rPr>
        <w:t xml:space="preserve"> should remain</w:t>
      </w:r>
      <w:r w:rsidRPr="00C33DE5">
        <w:rPr>
          <w:b/>
          <w:szCs w:val="24"/>
        </w:rPr>
        <w:t xml:space="preserve"> detectable during the entire measurement</w:t>
      </w:r>
      <w:r>
        <w:rPr>
          <w:b/>
          <w:szCs w:val="24"/>
        </w:rPr>
        <w:t>/switch</w:t>
      </w:r>
      <w:r w:rsidRPr="00C33DE5">
        <w:rPr>
          <w:b/>
          <w:szCs w:val="24"/>
        </w:rPr>
        <w:t xml:space="preserve"> period</w:t>
      </w:r>
      <w:bookmarkEnd w:id="1"/>
      <w:r>
        <w:rPr>
          <w:b/>
          <w:szCs w:val="24"/>
        </w:rPr>
        <w:t>.</w:t>
      </w:r>
      <w:bookmarkEnd w:id="2"/>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02E0B1FF" w14:textId="700526EB" w:rsidR="00AF3344" w:rsidRPr="006475ED"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5443E">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3" w:name="_Hlk94866332"/>
    </w:p>
    <w:p w14:paraId="08946105" w14:textId="31996167" w:rsidR="006475ED" w:rsidRDefault="006475ED" w:rsidP="006475ED">
      <w:pPr>
        <w:adjustRightInd w:val="0"/>
        <w:snapToGrid w:val="0"/>
        <w:spacing w:beforeLines="100" w:before="24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_Ref127285641 \h  \* MERGEFORMAT </w:instrText>
      </w:r>
      <w:r>
        <w:rPr>
          <w:rFonts w:eastAsia="新細明體" w:cstheme="minorHAnsi"/>
          <w:szCs w:val="24"/>
        </w:rPr>
      </w:r>
      <w:r>
        <w:rPr>
          <w:rFonts w:eastAsia="新細明體" w:cstheme="minorHAnsi"/>
          <w:szCs w:val="24"/>
        </w:rPr>
        <w:fldChar w:fldCharType="separate"/>
      </w:r>
      <w:r w:rsidR="00935B94" w:rsidRPr="004E4BCC">
        <w:rPr>
          <w:b/>
          <w:szCs w:val="24"/>
        </w:rPr>
        <w:t xml:space="preserve">Proposal </w:t>
      </w:r>
      <w:r w:rsidR="00935B94">
        <w:rPr>
          <w:b/>
          <w:noProof/>
          <w:szCs w:val="24"/>
        </w:rPr>
        <w:t>1</w:t>
      </w:r>
      <w:r w:rsidR="00935B94" w:rsidRPr="004E4BCC">
        <w:rPr>
          <w:b/>
          <w:szCs w:val="24"/>
        </w:rPr>
        <w:t>:</w:t>
      </w:r>
      <w:r w:rsidR="00935B94">
        <w:rPr>
          <w:b/>
          <w:szCs w:val="24"/>
        </w:rPr>
        <w:t xml:space="preserve"> </w:t>
      </w:r>
      <w:r w:rsidR="00935B94" w:rsidRPr="00C33DE5">
        <w:rPr>
          <w:b/>
          <w:szCs w:val="24"/>
        </w:rPr>
        <w:t xml:space="preserve">For </w:t>
      </w:r>
      <w:r w:rsidR="00935B94">
        <w:rPr>
          <w:b/>
          <w:szCs w:val="24"/>
        </w:rPr>
        <w:t>dual TCI state switching, only define the requirements for the case when two indicated TCI states are known.</w:t>
      </w:r>
      <w:r>
        <w:rPr>
          <w:rFonts w:eastAsia="新細明體" w:cstheme="minorHAnsi"/>
          <w:szCs w:val="24"/>
        </w:rPr>
        <w:fldChar w:fldCharType="end"/>
      </w:r>
    </w:p>
    <w:p w14:paraId="6B27159E" w14:textId="43E9BAE3" w:rsidR="000162CC" w:rsidRPr="00AF3344" w:rsidRDefault="006475ED" w:rsidP="007A65A5">
      <w:pPr>
        <w:adjustRightInd w:val="0"/>
        <w:snapToGrid w:val="0"/>
        <w:spacing w:beforeLines="100" w:before="240"/>
        <w:jc w:val="both"/>
        <w:rPr>
          <w:rFonts w:eastAsia="新細明體" w:cstheme="minorHAnsi" w:hint="eastAsia"/>
          <w:szCs w:val="24"/>
        </w:rPr>
      </w:pPr>
      <w:r>
        <w:rPr>
          <w:rFonts w:eastAsia="新細明體" w:cstheme="minorHAnsi"/>
          <w:szCs w:val="24"/>
        </w:rPr>
        <w:fldChar w:fldCharType="begin"/>
      </w:r>
      <w:r>
        <w:rPr>
          <w:rFonts w:eastAsia="新細明體" w:cstheme="minorHAnsi"/>
          <w:szCs w:val="24"/>
        </w:rPr>
        <w:instrText xml:space="preserve"> REF _Ref118628963 \h  \* MERGEFORMAT </w:instrText>
      </w:r>
      <w:r>
        <w:rPr>
          <w:rFonts w:eastAsia="新細明體" w:cstheme="minorHAnsi"/>
          <w:szCs w:val="24"/>
        </w:rPr>
      </w:r>
      <w:r>
        <w:rPr>
          <w:rFonts w:eastAsia="新細明體" w:cstheme="minorHAnsi"/>
          <w:szCs w:val="24"/>
        </w:rPr>
        <w:fldChar w:fldCharType="separate"/>
      </w:r>
      <w:r w:rsidR="00935B94" w:rsidRPr="004E4BCC">
        <w:rPr>
          <w:b/>
          <w:szCs w:val="24"/>
        </w:rPr>
        <w:t xml:space="preserve">Proposal </w:t>
      </w:r>
      <w:r w:rsidR="00935B94">
        <w:rPr>
          <w:b/>
          <w:noProof/>
          <w:szCs w:val="24"/>
        </w:rPr>
        <w:t>2</w:t>
      </w:r>
      <w:r w:rsidR="00935B94" w:rsidRPr="004E4BCC">
        <w:rPr>
          <w:b/>
          <w:szCs w:val="24"/>
        </w:rPr>
        <w:t>:</w:t>
      </w:r>
      <w:r w:rsidR="00935B94">
        <w:rPr>
          <w:b/>
          <w:szCs w:val="24"/>
        </w:rPr>
        <w:t xml:space="preserve"> </w:t>
      </w:r>
      <w:r w:rsidR="00935B94" w:rsidRPr="00C33DE5">
        <w:rPr>
          <w:b/>
          <w:szCs w:val="24"/>
        </w:rPr>
        <w:t>For detectable condition, all RS</w:t>
      </w:r>
      <w:r w:rsidR="00935B94">
        <w:rPr>
          <w:b/>
          <w:szCs w:val="24"/>
        </w:rPr>
        <w:t>s</w:t>
      </w:r>
      <w:r w:rsidR="00935B94" w:rsidRPr="00C33DE5">
        <w:rPr>
          <w:b/>
          <w:szCs w:val="24"/>
        </w:rPr>
        <w:t xml:space="preserve"> in the same </w:t>
      </w:r>
      <w:r w:rsidR="00935B94" w:rsidRPr="00360F93">
        <w:rPr>
          <w:rFonts w:hint="eastAsia"/>
          <w:b/>
          <w:szCs w:val="24"/>
        </w:rPr>
        <w:t xml:space="preserve">TCI </w:t>
      </w:r>
      <w:r w:rsidR="00935B94" w:rsidRPr="00C33DE5">
        <w:rPr>
          <w:b/>
          <w:szCs w:val="24"/>
        </w:rPr>
        <w:t>chain for the target TCI state</w:t>
      </w:r>
      <w:r w:rsidR="00935B94">
        <w:rPr>
          <w:b/>
          <w:szCs w:val="24"/>
        </w:rPr>
        <w:t xml:space="preserve"> should remain</w:t>
      </w:r>
      <w:r w:rsidR="00935B94" w:rsidRPr="00C33DE5">
        <w:rPr>
          <w:b/>
          <w:szCs w:val="24"/>
        </w:rPr>
        <w:t xml:space="preserve"> detectable during the entire measurement</w:t>
      </w:r>
      <w:r w:rsidR="00935B94">
        <w:rPr>
          <w:b/>
          <w:szCs w:val="24"/>
        </w:rPr>
        <w:t>/switch</w:t>
      </w:r>
      <w:r w:rsidR="00935B94" w:rsidRPr="00C33DE5">
        <w:rPr>
          <w:b/>
          <w:szCs w:val="24"/>
        </w:rPr>
        <w:t xml:space="preserve"> period</w:t>
      </w:r>
      <w:r w:rsidR="00935B94">
        <w:rPr>
          <w:b/>
          <w:szCs w:val="24"/>
        </w:rPr>
        <w:t>.</w:t>
      </w:r>
      <w:r>
        <w:rPr>
          <w:rFonts w:eastAsia="新細明體" w:cstheme="minorHAnsi"/>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671845B9" w:rsidR="00923E98" w:rsidRDefault="00AA7C57" w:rsidP="00AA7C57">
      <w:pPr>
        <w:pStyle w:val="ListParagraph"/>
        <w:numPr>
          <w:ilvl w:val="0"/>
          <w:numId w:val="6"/>
        </w:numPr>
        <w:rPr>
          <w:rFonts w:cstheme="minorHAnsi"/>
          <w:szCs w:val="24"/>
        </w:rPr>
      </w:pPr>
      <w:bookmarkStart w:id="4" w:name="_Ref118581379"/>
      <w:bookmarkStart w:id="5" w:name="_Ref126874315"/>
      <w:bookmarkEnd w:id="3"/>
      <w:r w:rsidRPr="00AA7C57">
        <w:rPr>
          <w:rFonts w:cstheme="minorHAnsi"/>
          <w:szCs w:val="24"/>
        </w:rPr>
        <w:t>R4-</w:t>
      </w:r>
      <w:r w:rsidR="00224733">
        <w:rPr>
          <w:rFonts w:cstheme="minorHAnsi"/>
          <w:szCs w:val="24"/>
        </w:rPr>
        <w:t>2220402</w:t>
      </w:r>
      <w:r w:rsidRPr="00AA7C57">
        <w:rPr>
          <w:rFonts w:cstheme="minorHAnsi"/>
          <w:szCs w:val="24"/>
        </w:rPr>
        <w:t xml:space="preserve">, </w:t>
      </w:r>
      <w:r w:rsidR="00224733" w:rsidRPr="00224733">
        <w:rPr>
          <w:rFonts w:cstheme="minorHAnsi"/>
          <w:szCs w:val="24"/>
        </w:rPr>
        <w:t>WF on NR FR2 multi-Rx chain DL reception – Part 3</w:t>
      </w:r>
      <w:r w:rsidRPr="00AA7C57">
        <w:rPr>
          <w:rFonts w:cstheme="minorHAnsi"/>
          <w:szCs w:val="24"/>
        </w:rPr>
        <w:t xml:space="preserve">, </w:t>
      </w:r>
      <w:r w:rsidR="00222460">
        <w:rPr>
          <w:rFonts w:cstheme="minorHAnsi"/>
          <w:szCs w:val="24"/>
        </w:rPr>
        <w:t>Ericsson</w:t>
      </w:r>
      <w:r w:rsidRPr="00AA7C57">
        <w:rPr>
          <w:rFonts w:cstheme="minorHAnsi"/>
          <w:szCs w:val="24"/>
        </w:rPr>
        <w:t>, RAN4 #10</w:t>
      </w:r>
      <w:bookmarkEnd w:id="4"/>
      <w:r w:rsidR="00224733">
        <w:rPr>
          <w:rFonts w:cstheme="minorHAnsi"/>
          <w:szCs w:val="24"/>
        </w:rPr>
        <w:t>5</w:t>
      </w:r>
      <w:bookmarkEnd w:id="5"/>
    </w:p>
    <w:p w14:paraId="2937B415" w14:textId="1F1DB647" w:rsidR="00224733" w:rsidRPr="00236BBD" w:rsidRDefault="00224733" w:rsidP="00AA7C57">
      <w:pPr>
        <w:pStyle w:val="ListParagraph"/>
        <w:numPr>
          <w:ilvl w:val="0"/>
          <w:numId w:val="6"/>
        </w:numPr>
        <w:rPr>
          <w:rFonts w:cstheme="minorHAnsi"/>
          <w:szCs w:val="24"/>
        </w:rPr>
      </w:pPr>
      <w:bookmarkStart w:id="6" w:name="_Ref126874323"/>
      <w:r>
        <w:rPr>
          <w:rFonts w:eastAsia="新細明體" w:cstheme="minorHAnsi" w:hint="eastAsia"/>
          <w:szCs w:val="24"/>
          <w:lang w:eastAsia="zh-TW"/>
        </w:rPr>
        <w:t>R</w:t>
      </w:r>
      <w:r>
        <w:rPr>
          <w:rFonts w:eastAsia="新細明體" w:cstheme="minorHAnsi"/>
          <w:szCs w:val="24"/>
          <w:lang w:eastAsia="zh-TW"/>
        </w:rPr>
        <w:t xml:space="preserve">4-2220063, </w:t>
      </w:r>
      <w:r w:rsidRPr="00224733">
        <w:rPr>
          <w:rFonts w:eastAsia="新細明體" w:cstheme="minorHAnsi"/>
          <w:szCs w:val="24"/>
          <w:lang w:eastAsia="zh-TW"/>
        </w:rPr>
        <w:t>Topic summary for [105][217] FR2_multiRx_RRM_part3</w:t>
      </w:r>
      <w:r>
        <w:rPr>
          <w:rFonts w:eastAsia="新細明體" w:cstheme="minorHAnsi"/>
          <w:szCs w:val="24"/>
          <w:lang w:eastAsia="zh-TW"/>
        </w:rPr>
        <w:t>, Ericsson, RAN4 #105</w:t>
      </w:r>
      <w:bookmarkEnd w:id="6"/>
    </w:p>
    <w:sectPr w:rsidR="00224733" w:rsidRPr="00236BB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00C6" w14:textId="77777777" w:rsidR="00EE3E77" w:rsidRDefault="00EE3E77">
      <w:r>
        <w:separator/>
      </w:r>
    </w:p>
  </w:endnote>
  <w:endnote w:type="continuationSeparator" w:id="0">
    <w:p w14:paraId="1E609FF7" w14:textId="77777777" w:rsidR="00EE3E77" w:rsidRDefault="00EE3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9324E" w14:textId="77777777" w:rsidR="00EE3E77" w:rsidRDefault="00EE3E77">
      <w:r>
        <w:separator/>
      </w:r>
    </w:p>
  </w:footnote>
  <w:footnote w:type="continuationSeparator" w:id="0">
    <w:p w14:paraId="0A0EB8F0" w14:textId="77777777" w:rsidR="00EE3E77" w:rsidRDefault="00EE3E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7"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0"/>
  </w:num>
  <w:num w:numId="2">
    <w:abstractNumId w:val="17"/>
  </w:num>
  <w:num w:numId="3">
    <w:abstractNumId w:val="2"/>
  </w:num>
  <w:num w:numId="4">
    <w:abstractNumId w:val="0"/>
  </w:num>
  <w:num w:numId="5">
    <w:abstractNumId w:val="25"/>
  </w:num>
  <w:num w:numId="6">
    <w:abstractNumId w:val="5"/>
  </w:num>
  <w:num w:numId="7">
    <w:abstractNumId w:val="28"/>
  </w:num>
  <w:num w:numId="8">
    <w:abstractNumId w:val="36"/>
  </w:num>
  <w:num w:numId="9">
    <w:abstractNumId w:val="9"/>
  </w:num>
  <w:num w:numId="10">
    <w:abstractNumId w:val="20"/>
  </w:num>
  <w:num w:numId="11">
    <w:abstractNumId w:val="29"/>
  </w:num>
  <w:num w:numId="12">
    <w:abstractNumId w:val="22"/>
  </w:num>
  <w:num w:numId="13">
    <w:abstractNumId w:val="31"/>
  </w:num>
  <w:num w:numId="14">
    <w:abstractNumId w:val="3"/>
  </w:num>
  <w:num w:numId="15">
    <w:abstractNumId w:val="13"/>
  </w:num>
  <w:num w:numId="16">
    <w:abstractNumId w:val="35"/>
  </w:num>
  <w:num w:numId="17">
    <w:abstractNumId w:val="1"/>
  </w:num>
  <w:num w:numId="18">
    <w:abstractNumId w:val="4"/>
  </w:num>
  <w:num w:numId="19">
    <w:abstractNumId w:val="34"/>
  </w:num>
  <w:num w:numId="20">
    <w:abstractNumId w:val="18"/>
  </w:num>
  <w:num w:numId="21">
    <w:abstractNumId w:val="27"/>
  </w:num>
  <w:num w:numId="22">
    <w:abstractNumId w:val="6"/>
  </w:num>
  <w:num w:numId="23">
    <w:abstractNumId w:val="8"/>
  </w:num>
  <w:num w:numId="24">
    <w:abstractNumId w:val="19"/>
  </w:num>
  <w:num w:numId="25">
    <w:abstractNumId w:val="26"/>
  </w:num>
  <w:num w:numId="26">
    <w:abstractNumId w:val="11"/>
  </w:num>
  <w:num w:numId="27">
    <w:abstractNumId w:val="12"/>
  </w:num>
  <w:num w:numId="28">
    <w:abstractNumId w:val="16"/>
  </w:num>
  <w:num w:numId="29">
    <w:abstractNumId w:val="32"/>
  </w:num>
  <w:num w:numId="30">
    <w:abstractNumId w:val="25"/>
  </w:num>
  <w:num w:numId="31">
    <w:abstractNumId w:val="10"/>
  </w:num>
  <w:num w:numId="32">
    <w:abstractNumId w:val="14"/>
  </w:num>
  <w:num w:numId="33">
    <w:abstractNumId w:val="33"/>
  </w:num>
  <w:num w:numId="34">
    <w:abstractNumId w:val="23"/>
  </w:num>
  <w:num w:numId="35">
    <w:abstractNumId w:val="21"/>
  </w:num>
  <w:num w:numId="36">
    <w:abstractNumId w:val="24"/>
  </w:num>
  <w:num w:numId="37">
    <w:abstractNumId w:val="7"/>
  </w:num>
  <w:num w:numId="3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07"/>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33B"/>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13"/>
    <w:rsid w:val="001C2489"/>
    <w:rsid w:val="001C24BB"/>
    <w:rsid w:val="001C2686"/>
    <w:rsid w:val="001C26E0"/>
    <w:rsid w:val="001C2EB4"/>
    <w:rsid w:val="001C326D"/>
    <w:rsid w:val="001C4337"/>
    <w:rsid w:val="001C4676"/>
    <w:rsid w:val="001C48FB"/>
    <w:rsid w:val="001C4D9F"/>
    <w:rsid w:val="001C4DE7"/>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C5"/>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AE2"/>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3FE5"/>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62"/>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6B03"/>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612"/>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9A8"/>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5ED"/>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AD0"/>
    <w:rsid w:val="00690BD0"/>
    <w:rsid w:val="00690CB4"/>
    <w:rsid w:val="00690D96"/>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67E"/>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5A5"/>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622"/>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43E"/>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87A07"/>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B94"/>
    <w:rsid w:val="00935C87"/>
    <w:rsid w:val="00935D1C"/>
    <w:rsid w:val="00935D4F"/>
    <w:rsid w:val="00935DF9"/>
    <w:rsid w:val="00935EA5"/>
    <w:rsid w:val="009360C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131"/>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A"/>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7B5"/>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881"/>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67A"/>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A7C"/>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A7FF5"/>
    <w:rsid w:val="00CB028B"/>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6DDF"/>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1C6A"/>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E77"/>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108"/>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C6A"/>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C1C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C6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